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776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61"/>
        <w:gridCol w:w="1353"/>
        <w:gridCol w:w="1481"/>
        <w:gridCol w:w="2022"/>
        <w:gridCol w:w="2236"/>
        <w:gridCol w:w="4393"/>
        <w:gridCol w:w="29"/>
      </w:tblGrid>
      <w:tr>
        <w:trPr/>
        <w:tc>
          <w:tcPr>
            <w:tcW w:w="14746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b/>
                <w:b/>
                <w:color w:val="FF0000"/>
                <w:kern w:val="0"/>
                <w:sz w:val="28"/>
                <w:szCs w:val="28"/>
                <w:shd w:fill="auto" w:val="clear"/>
                <w:lang w:val="it-IT" w:eastAsia="en-US" w:bidi="ar-SA"/>
              </w:rPr>
            </w:pPr>
            <w:r>
              <w:rPr>
                <w:rFonts w:eastAsia="Calibri" w:cs=""/>
                <w:b/>
                <w:color w:val="FF0000"/>
                <w:kern w:val="0"/>
                <w:sz w:val="28"/>
                <w:szCs w:val="28"/>
                <w:shd w:fill="auto" w:val="clear"/>
                <w:lang w:val="it-IT" w:eastAsia="en-US" w:bidi="ar-SA"/>
              </w:rPr>
              <w:t>DELL’AUTONOMIA E DELL’ORIENTAMENTO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kern w:val="0"/>
                <w:lang w:val="it-IT" w:bidi="ar-SA"/>
              </w:rPr>
            </w:pPr>
            <w:r>
              <w:rPr>
                <w:color w:val="212529"/>
                <w:kern w:val="0"/>
                <w:sz w:val="26"/>
                <w:szCs w:val="26"/>
                <w:lang w:val="it-IT" w:bidi="ar-SA"/>
              </w:rPr>
              <w:t>che afferisce all’autonomia della persona e all’autonomia sociale, alle dimensioni motorio-prassica (motricità globale, motricità fine, prassie semplici e complesse) e sensoriale (funzionalità visiva, uditiva, tattile)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Partecipazione - indicatori da osservare nel contesto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Capacità (0-4)</w:t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Performance (0-4)</w:t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Barriere</w:t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 xml:space="preserve">Risorse </w:t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Obiettivi</w:t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d110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 xml:space="preserve">Guardare - 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utilizzare il senso della vista intenzionalmente per sperimentare stimoli visivi, come seguire visivamente un oggetto, guardare delle persone, guardare un evento sportivo, una persona o dei bambini che giocano.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cs="Helvetica"/>
                <w:b/>
                <w:b/>
                <w:bCs/>
                <w:color w:val="0070C0"/>
              </w:rPr>
            </w:pPr>
            <w:r>
              <w:rPr>
                <w:rFonts w:cs="Helvetica"/>
                <w:b/>
                <w:bCs/>
                <w:color w:val="0070C0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d115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 </w:t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 xml:space="preserve">Ascoltare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Utilizzare il senso dell’udito intenzionalmente per sperimentare stimoli uditivi come ascoltare la radio, la voce umana, della musica, una lezione o una storia raccontata.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 xml:space="preserve">d 130 Copiare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Imitare o mimare come una componente basilare dell’apprendere, come copiare un gesto, un suono o le lettere dell’alfabeto.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imitazione immediata di un’azione o di un comportamento.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b/>
                <w:kern w:val="0"/>
                <w:sz w:val="20"/>
                <w:szCs w:val="20"/>
                <w:lang w:val="it-IT" w:eastAsia="en-US" w:bidi="ar-SA"/>
              </w:rPr>
              <w:t>d1450 Apprendere le abilità di uso di strumenti di scrittura</w:t>
            </w: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  <w:t>Imparare le azioni elementari di scrittura di simboli o lettere, come tenere in mano una  matita, un gessetto o un pennello, scrivere un carattere o un simbolo su un foglio di carta, usare un brailler, una tastiera o una periferica (mouse).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Times New Roman" w:cs="Arial"/>
                <w:b/>
                <w:b/>
                <w:color w:val="231F20"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Times New Roman" w:cs="Arial"/>
                <w:b/>
                <w:color w:val="231F20"/>
                <w:kern w:val="0"/>
                <w:sz w:val="20"/>
                <w:szCs w:val="20"/>
                <w:lang w:val="it-IT" w:eastAsia="en-US" w:bidi="ar-SA"/>
              </w:rPr>
              <w:t>d155 Acquisizione di abilità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Times New Roman" w:cs="Arial"/>
                <w:color w:val="231F20"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Times New Roman" w:cs="Arial"/>
                <w:color w:val="231F20"/>
                <w:kern w:val="0"/>
                <w:sz w:val="20"/>
                <w:szCs w:val="20"/>
                <w:lang w:val="it-IT" w:eastAsia="en-US" w:bidi="ar-SA"/>
              </w:rPr>
              <w:t>Sviluppare capacità basilari e complesse in insiemi integrati di azioni o compiti in modo da iniziare e portare a termine l’acquisizione di un’abilità, come utilizzare strumenti o giocare a giochi come gli scacchi.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i/>
                <w:i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b/>
                <w:i/>
                <w:kern w:val="0"/>
                <w:sz w:val="20"/>
                <w:szCs w:val="20"/>
                <w:lang w:val="it-IT" w:eastAsia="en-US" w:bidi="ar-SA"/>
              </w:rPr>
              <w:t xml:space="preserve">Inclusioni: </w:t>
            </w:r>
            <w:r>
              <w:rPr>
                <w:rFonts w:eastAsia="Calibri" w:cs="Arial"/>
                <w:i/>
                <w:kern w:val="0"/>
                <w:sz w:val="20"/>
                <w:szCs w:val="20"/>
                <w:lang w:val="it-IT" w:eastAsia="en-US" w:bidi="ar-SA"/>
              </w:rPr>
              <w:t>acquisire abilità basilari e complesse.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b/>
                <w:kern w:val="0"/>
                <w:sz w:val="20"/>
                <w:szCs w:val="20"/>
                <w:lang w:val="it-IT" w:eastAsia="en-US" w:bidi="ar-SA"/>
              </w:rPr>
              <w:t xml:space="preserve">d1550 Acquisizione di abilità basilari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  <w:t xml:space="preserve">Imparare azioni intenzionali elementari, come imparare a rispondere a un saluto agitando una mano, utilizzare semplici strumenti, come matite e utensili per mangiare.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b/>
                <w:kern w:val="0"/>
                <w:sz w:val="20"/>
                <w:szCs w:val="20"/>
                <w:lang w:val="it-IT" w:eastAsia="en-US" w:bidi="ar-SA"/>
              </w:rPr>
              <w:t xml:space="preserve">d1551 Acquisizione di abilità complesse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  <w:kern w:val="0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  <w:t>Imparare insiemi integrati di azioni in modo da seguire regole e ordinare in sequenza e coordinare i propri movimenti, come imparare a giocare ad un gioco (calcio o scacchi) e a utilizzare un attrezzo per le costruzioni.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Standard"/>
              <w:widowControl w:val="false"/>
              <w:spacing w:before="0" w:after="0"/>
              <w:jc w:val="both"/>
              <w:rPr>
                <w:rFonts w:ascii="Calibri" w:hAnsi="Calibri" w:cs="Arial"/>
                <w:b/>
                <w:b/>
                <w:sz w:val="20"/>
                <w:szCs w:val="20"/>
                <w:lang w:val="it-IT" w:bidi="ar-SA"/>
              </w:rPr>
            </w:pPr>
            <w:r>
              <w:rPr>
                <w:rFonts w:cs="Arial" w:ascii="Calibri" w:hAnsi="Calibri"/>
                <w:b/>
                <w:sz w:val="20"/>
                <w:szCs w:val="20"/>
                <w:lang w:val="it-IT" w:bidi="ar-SA"/>
              </w:rPr>
              <w:t xml:space="preserve">d160 Focalizzare l’attenzione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  <w:t>Focalizzarsi intenzionalmente su stimoli specifici, come ignorare i rumori distraenti.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Standard"/>
              <w:widowControl w:val="false"/>
              <w:spacing w:before="0" w:after="0"/>
              <w:jc w:val="both"/>
              <w:rPr>
                <w:rFonts w:ascii="Calibri" w:hAnsi="Calibri" w:cs="Arial"/>
                <w:b/>
                <w:b/>
                <w:sz w:val="20"/>
                <w:szCs w:val="20"/>
                <w:lang w:val="it-IT" w:bidi="ar-SA"/>
              </w:rPr>
            </w:pPr>
            <w:r>
              <w:rPr>
                <w:rFonts w:cs="Arial" w:ascii="Calibri" w:hAnsi="Calibri"/>
                <w:b/>
                <w:sz w:val="20"/>
                <w:szCs w:val="20"/>
                <w:lang w:val="it-IT" w:bidi="ar-SA"/>
              </w:rPr>
              <w:t>d161 Dirigere l’attenzione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/>
                <w:kern w:val="0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  <w:t>Mantenere intenzionalmente l’attenzione su azioni o compiti specifici per una lunghezza temporale appropriata.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Standard"/>
              <w:widowControl w:val="false"/>
              <w:spacing w:before="0" w:after="0"/>
              <w:jc w:val="both"/>
              <w:rPr>
                <w:rFonts w:ascii="Calibri" w:hAnsi="Calibri" w:cs="Arial"/>
                <w:b/>
                <w:b/>
                <w:sz w:val="20"/>
                <w:szCs w:val="20"/>
                <w:lang w:val="it-IT" w:bidi="ar-SA"/>
              </w:rPr>
            </w:pPr>
            <w:r>
              <w:rPr>
                <w:rFonts w:cs="Arial" w:ascii="Calibri" w:hAnsi="Calibri"/>
                <w:b/>
                <w:sz w:val="20"/>
                <w:szCs w:val="20"/>
                <w:lang w:val="it-IT" w:bidi="ar-SA"/>
              </w:rPr>
            </w:r>
          </w:p>
          <w:p>
            <w:pPr>
              <w:pStyle w:val="Standard"/>
              <w:widowControl w:val="false"/>
              <w:spacing w:before="0" w:after="0"/>
              <w:jc w:val="both"/>
              <w:rPr>
                <w:rFonts w:ascii="Calibri" w:hAnsi="Calibri" w:cs="Arial"/>
                <w:b/>
                <w:b/>
                <w:sz w:val="20"/>
                <w:szCs w:val="20"/>
                <w:lang w:val="it-IT" w:bidi="ar-SA"/>
              </w:rPr>
            </w:pPr>
            <w:r>
              <w:rPr>
                <w:rFonts w:cs="Arial" w:ascii="Calibri" w:hAnsi="Calibri"/>
                <w:b/>
                <w:sz w:val="20"/>
                <w:szCs w:val="20"/>
                <w:lang w:val="it-IT" w:bidi="ar-SA"/>
              </w:rPr>
              <w:t>d175 Risoluzione di problemi</w:t>
            </w:r>
          </w:p>
          <w:p>
            <w:pPr>
              <w:pStyle w:val="Standard"/>
              <w:widowControl w:val="false"/>
              <w:spacing w:before="0" w:after="0"/>
              <w:jc w:val="both"/>
              <w:rPr>
                <w:rFonts w:ascii="Calibri" w:hAnsi="Calibri" w:cs="Arial"/>
                <w:sz w:val="20"/>
                <w:szCs w:val="20"/>
                <w:lang w:val="it-IT" w:bidi="ar-SA"/>
              </w:rPr>
            </w:pPr>
            <w:r>
              <w:rPr>
                <w:rFonts w:cs="Arial" w:ascii="Calibri" w:hAnsi="Calibri"/>
                <w:sz w:val="20"/>
                <w:szCs w:val="20"/>
                <w:lang w:val="it-IT" w:bidi="ar-SA"/>
              </w:rPr>
              <w:t>Trovare soluzioni a problemi o situazioni identificando e analizzando le questioni, sviluppando opzioni e soluzioni, valutandone i potenziali effetti e mettendo in atto la soluzione prescelta, come nel risolvere una disputa fra due persone.</w:t>
            </w:r>
          </w:p>
          <w:p>
            <w:pPr>
              <w:pStyle w:val="Standard"/>
              <w:widowControl w:val="false"/>
              <w:spacing w:before="0" w:after="0"/>
              <w:jc w:val="both"/>
              <w:rPr>
                <w:rFonts w:ascii="Calibri" w:hAnsi="Calibri" w:cs="Arial"/>
                <w:b/>
                <w:b/>
                <w:sz w:val="20"/>
                <w:szCs w:val="20"/>
                <w:lang w:val="it-IT" w:bidi="ar-SA"/>
              </w:rPr>
            </w:pPr>
            <w:r>
              <w:rPr>
                <w:rFonts w:cs="Arial" w:ascii="Calibri" w:hAnsi="Calibri"/>
                <w:b/>
                <w:sz w:val="20"/>
                <w:szCs w:val="20"/>
                <w:lang w:val="it-IT" w:bidi="ar-SA"/>
              </w:rPr>
              <w:t xml:space="preserve">d1750 Risoluzione di problemi semplici </w:t>
            </w:r>
          </w:p>
          <w:p>
            <w:pPr>
              <w:pStyle w:val="Standard"/>
              <w:widowControl w:val="false"/>
              <w:spacing w:before="0" w:after="0"/>
              <w:jc w:val="both"/>
              <w:rPr>
                <w:rFonts w:ascii="Calibri" w:hAnsi="Calibri" w:cs="Arial"/>
                <w:sz w:val="20"/>
                <w:szCs w:val="20"/>
                <w:lang w:val="it-IT" w:bidi="ar-SA"/>
              </w:rPr>
            </w:pPr>
            <w:r>
              <w:rPr>
                <w:rFonts w:cs="Arial" w:ascii="Calibri" w:hAnsi="Calibri"/>
                <w:sz w:val="20"/>
                <w:szCs w:val="20"/>
                <w:lang w:val="it-IT" w:bidi="ar-SA"/>
              </w:rPr>
              <w:t>Trovare soluzioni a un problema semplice riguardante una singola questione, identificandola e analizzandola, sviluppando soluzioni, valutandone potenziali effetti e mettendo in atto la soluzione prescelta.</w:t>
            </w:r>
          </w:p>
          <w:p>
            <w:pPr>
              <w:pStyle w:val="Standard"/>
              <w:widowControl w:val="false"/>
              <w:spacing w:before="0" w:after="0"/>
              <w:jc w:val="both"/>
              <w:rPr>
                <w:rFonts w:ascii="Calibri" w:hAnsi="Calibri" w:cs="Arial"/>
                <w:b/>
                <w:b/>
                <w:sz w:val="20"/>
                <w:szCs w:val="20"/>
                <w:lang w:val="it-IT" w:bidi="ar-SA"/>
              </w:rPr>
            </w:pPr>
            <w:r>
              <w:rPr>
                <w:rFonts w:cs="Arial" w:ascii="Calibri" w:hAnsi="Calibri"/>
                <w:b/>
                <w:sz w:val="20"/>
                <w:szCs w:val="20"/>
                <w:lang w:val="it-IT" w:bidi="ar-SA"/>
              </w:rPr>
              <w:t>d1751 Risoluzione di problemi complessi.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/>
                <w:kern w:val="0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0"/>
                <w:szCs w:val="20"/>
                <w:lang w:val="it-IT" w:eastAsia="en-US" w:bidi="ar-SA"/>
              </w:rPr>
              <w:t>Trovare soluzione a un problema complesso riguardanti questioni varie interrelate o a diversi problemi correlati, identificando e analizzando la questione sviluppando soluzioni, valutandone i potenziali effetti e mettendo in atto la soluzione prescelta.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4"/>
                <w:szCs w:val="24"/>
                <w:lang w:val="it-IT" w:eastAsia="en-US" w:bidi="ar-SA"/>
              </w:rPr>
              <w:t xml:space="preserve">d510 Lavarsi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Lavare e asciugare il proprio corpo o parte di esso, utilizzando acqua e materiali o metodi di pulizia e asciugatura adeguati, come farsi il bagno, fare la doccia, lavarsi le mani e i piedi, la faccia e i capelli e asciugarsi con un asciugamano.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4"/>
                <w:szCs w:val="24"/>
                <w:lang w:val="it-IT" w:eastAsia="en-US" w:bidi="ar-SA"/>
              </w:rPr>
              <w:t>d520 Prendersi cura di singole parti del corpo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Occuparsi delle singole parti del corpo come la pelle, la faccia, i denti, i cuoio capelluto, le unghie e i genitali, che richiedono altre cure oltre il lavaggio e l'asciugatura.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 5205 Curare il naso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Pulirsi il naso, provvedere all'igiene nasale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4"/>
                <w:szCs w:val="24"/>
                <w:lang w:val="it-IT" w:eastAsia="en-US" w:bidi="ar-SA"/>
              </w:rPr>
              <w:t>d530 Bisogni corporali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Manifestare il bisogno di, pianificare ed espletare l'eliminazione di prodotti organici ( mestruazioni, minzione e defecazione) e poi pulirsi.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d5300 Regolazione della minzione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Coordinare e gestire la minzione, come indicare il bisogno, assumere la giusta posizione, scegliere e raggiungere un posto adatto per la minzione, manipolare gli indumenti prima e dopo la minzione e pulirsi dopo la minzione.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d53000 Manifestare il bisogno di urinare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d53001 Espletare la minzione appropriatamente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d5301 Regolazione della defecazione</w:t>
            </w: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Coordinare e gestire la defecazione, come indicare il bisogno, assumere la giusta posizione, scegliere e raggiungere il posto adatto per la defecazione, manipolare gli indumenti prima e dopo la defecazione e pulirsi dopo la defecazione.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d53010 Manifestare il bisogno di defecare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d53011 Espletare la defecazione appropriatamente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d5302 Cura relativa alle mestruazioni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Coordinare, pianificare e occuparsi delle mestruazioni, come prevedere le mestruazioni e usare assorbenti igienici.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>d540 Vestirsi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  <w:t>Eseguire le azioni coordinate e i compiti del mettersi e togliersi indumenti e calzature in sequenza e in accordo con le condizioni climatiche e sociali, come nell’indossare, sistemarsi e togliersi camice, gonne, camicette, pantaloni, biancheria intima, sari, kimono, calze, cappelli, guanti, cappotti, scarpe, stivali, sandali e ciabatte.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>d5400 Mettersi indumenti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  <w:t>Eseguire i compiti coordinati dell’indossare vestiti su varie parti del corpo, come indossare indumenti sul capo, sulle braccia e sulle spalle, e sulle parti inferiori e superiori del corpo; mettersi guanti e copricapi.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 xml:space="preserve">d5401 Togliersi indumenti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  <w:t>Eseguire i compiti coordinati del togliersi vestiti su varie parti del corpo, come togliere indumenti dal capo, dalle braccia e dalle spalle, e dalle parti inferiori e superiori del corpo; togliersi guanti e copricapi.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 xml:space="preserve">d5402 Mettersi calzature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  <w:t>Eseguire i compiti coordinati di indossare calzini, calze e calzature.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>d5403 Togliersi calzature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  <w:t>Eseguire i compiti coordinati di togliere</w:t>
            </w: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 xml:space="preserve"> </w:t>
            </w: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  <w:t>calzini, calze e calzature.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>d5404 Scegliere l’abbigliamento appropriato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  <w:t>Seguire codici e convenzioni di abbigliamento impliciti ed espliciti della propria società o cultura e vestirsi in accordo con le condizioni climatiche.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>d550 Mangiare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  <w:t>Manifestare il bisogno di mangiare ed eseguire i compiti e le azioni coordinati di mangiare il cibo che è stato servito, portarlo alla bocca e consumarlo in modo culturalmente accettabili, tagliare o spezzare il cibo in pezzi, aprire bottiglie e lattine, usare utensili per mangiare, consumare i pasti, banchettare.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b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>d5500 Manifestare il bisogno di mangiare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4"/>
                <w:szCs w:val="24"/>
                <w:lang w:val="it-IT" w:bidi="ar-SA"/>
              </w:rPr>
              <w:t>d5501 Mangiare appropriatamente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4"/>
                <w:szCs w:val="24"/>
                <w:lang w:val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  <w:t>D 560 Bere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Manifestare il bisogno di bere e prendere una bevanda portarla alla bocca e consumarla in modo culturalmente accettabile, mescolare, rimescolare e versare liquidi da bere, aprire bottiglie e lattine, bere dalla cannuccia o bere acqua corrente come da un rubinetto o da una sorgente; nutrirsi al seno.</w:t>
            </w:r>
          </w:p>
          <w:p>
            <w:pPr>
              <w:pStyle w:val="NormalWeb"/>
              <w:widowControl w:val="false"/>
              <w:suppressAutoHyphens w:val="true"/>
              <w:spacing w:before="28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d5600 Manifestare il bisogno di bere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d5601 Allattarsi al seno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Succhiare efficacemente il latte dal seno ed eseguire i comportamenti e le interazioni appropriate con la persona che accudisce come il contatto visivo, indicando bisogno e sazietà.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d5602 Alimentazione da un biberon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Succhiare efficacemente da un biberon il latte o un altro liquido ed eseguire i comportamenti e le interazioni appropriate con la persona che accudisce come il contatto visivo, indicando bisogni e sazietà.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  <w:t>d570 Prendersi cura della propria salute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Garantirsi o indicare i propri bisogni relativi al comfort fisico, alla salute e al benessere fisico e mentale, come nel seguire una dieta bilanciata e un adeguato livello di attività fisica, mantenersi caldi o freschi, evitare danni alla salute, praticare sesso sicuro, incluso l’uso di preservativi, sottoporsi a vaccinazioni e a regolari esami e controlli medici</w:t>
            </w:r>
            <w:r>
              <w:rPr>
                <w:rFonts w:ascii="Calibri" w:hAnsi="Calibri"/>
                <w:i/>
                <w:iCs/>
                <w:color w:val="000000"/>
                <w:kern w:val="0"/>
                <w:sz w:val="22"/>
                <w:szCs w:val="22"/>
                <w:lang w:val="it-IT" w:bidi="ar-SA"/>
              </w:rPr>
              <w:t>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d5700 Assicurarsi il proprio comfort fisico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Prendersi cura di se con la consapevolezza che il proprio corpo sia in una posizione comoda, non si stia provando troppo caldo, troppo freddo o non ci si senta bagnati e che si abbia un’illuminazione adeguata.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d5701 Gestire la dieta e la forma fisica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Prendersi cura di sé con la consapevolezza di questa necessità, selezionando e consumando alimenti nutrienti e mantenendo una buona forma fisica.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 xml:space="preserve">d5702 Mantenersi in salute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 xml:space="preserve">Prendersi cura di sé con la consapevolezza di questa necessità e facendo quanto richiesto per salvaguardare la propria salute, sia per reagire a rischi che per prevenire le malattie, come nel cercare assistenza da professionisti o dal caregiver, seguire raccomandazioni mediche e sanitarie; evitare i rischi alla salute come lesioni fisiche, malattie trasmissibili, uso di droghe e malattie trasmesse sessualmente.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d57020 Gestire i farmaci e seguire i consigli sanitari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b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d630 Preparare i pasti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 xml:space="preserve">Pianificare, organizzare, cucinare e servire pasti semplici o complessi per se e per altri, come preparare un menù, scegliere alimenti e bevande commestibili, mettere insieme gli ingredienti, per preparare i pasti, cuocere utilizzando una fonte di calore e preparare cibi e bevande freddi e servire i cibi.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 xml:space="preserve">d6300 Preparare pasti semplici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 xml:space="preserve">Organizzare, cucinare e servire pasti composti da un numero ridotto di ingredienti che richiedono semplici modalità di preparazione e servizio, come preparare uno spuntino o un pasto leggero, e trasformare gli ingredienti tagliando e mescolando bollendo e risaldando cibi come riso le patate.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 xml:space="preserve">d6301 Preparare i pasti complessi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 xml:space="preserve">Pianificare, organizzare, cucinare e servire pasti da un grande numero di ingredienti che richiedono complesse modalità di preparazione e servizio, come pianificare un pasto con diverse portate, e trasformare gli ingredienti mediante l'azione combinata di sbucciare, affettare, mescolare, impastare, rimescolare, presentare e servire i cibi in un modo adeguato per l'occasione e per l cultura.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d6302 Aiutare a preparare i pasti</w:t>
            </w: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 xml:space="preserve"> 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Collaborare con altri alla pianificazione, organizzazione, preparazione e portata in tavola di pasti semplici e complessi per sé e per gli altri con la supervisione di qualcun altro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b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d640 Fare i lavori di casa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Gestire un contesto familiare pulendo la casa, lavando i vestiti, utilizzando elettrodomestici, riponendo i cibi e eliminando l’immondizia, come nello scopare, spazzare, lavare i ripiani, le pareti e i cassetti; raccogliere, lavare, asciugare, piegare e stirare gli indumenti; pulire le scarpe; utilizzare scope, spazzole e aspirapolveri; utilizzare lavatrici, asciugatrici e feri da stiro.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b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d6400 Lavare ed asciugare indumenti ed abiti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Lavare a mano indumenti ed abiti e stenderli per farli asciugare all’aria.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d6401 Pulire l’area dove si cucina e gli utensili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Rigovernare dopo aver cucinato come nel lavare i piatti, padelle, pentole e utensili da cucina, e pulire i tavoli e i pavimenti attorno all’area dove si mangia.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d6402 Pulire l’abitazione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Pulire le aree abitate della casa, come riassettare e spolverare, scopare, spazzare, pulire i pavimenti con lo strofinaccio, lavare le finestre e le pareti, pulire i bagni e i gabinetti, pulire i mobili della casa con lo strofinaccio.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d6403 Utilizzare elettrodomestici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Usare tutti i tipi di elettrodomestici, come lavatrici, asciugatrici, ferri da stiro, aspirapolveri e lavastoviglie.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d6404 Riporre ciò che serve quotidianamente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Riporre cibi, bevande, vestiti e altri articoli per la casa necessari quotidianamente; preparare alimenti per la conservazione inscatolando, salando o refrigerando, mantenendo il cibo fresco e fuori dalla portata di animali.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d6405 Eliminare l’immondizia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Eliminare l’immondizia della casa, raccogliendo i rifiuti e la spazzatura intorno alla casa, preparando i rifiuti per lo smaltimento, utilizzando tritarifiuti o bruciando l’immondizia.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d6406 Aiutare a fare i lavori domestici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Collaborare con altri, alla pianificazione, organizzazione e gestione dei lavori domestici con la supervisione di qualcuno.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  <w:t>d650 Prendersi cura degli oggetti della casa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Mantenere e riparare oggetti della casa e altri oggetti personali, inclusi materiali da gioco, la casa e il suo contenuto, gli indumenti, i veicoli e gli ausili, e accudire piante e animali, come imbiancare o tappezzare le stanze, riparare i mobili, riparare l’impianto idraulico, controllare il buon funzionamento dei veicoli, annaffiare le piante, accudire e nutrire gli animali domestici e di compagnia.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d6504 Provvedere alla manutenzione degli ausili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Riparare e prendersi cura degli ausili, come protesi, tutori, strumenti e sussidi speciali per il governo della casa e la cura personale; provvedere alla manutenzione e alla riparazione di sussidi per la mobilità personale come bastoni, deambulatori, sedie a rotelle e sedie a rotelle elettriche e provvedere alla manutenzione di ausili per la comunicazione e lo svago.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b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d6505 Prendersi cura delle piante, all’interno e all’esterno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Prendersi cura delle piante all’interno e all’esterno della casa, come piantare, innaffiare e concimare le piante; fare del giardinaggio e coltivare frutta o verdura per cibarsene.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d6506 Prendersi cura degli animali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Prendersi cura degli animali domestici e degli animali di compagnia, come nutrire, lavare, strigliare e far fare del moto agli animali da compagnia; controllare la salute degli animali domestici o da compagnia; programmare la cura di animali domestici odi compagnia in caso di propria assenza.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b/>
                <w:bCs/>
                <w:color w:val="000000"/>
                <w:kern w:val="0"/>
                <w:sz w:val="22"/>
                <w:szCs w:val="22"/>
                <w:lang w:val="it-IT" w:bidi="ar-SA"/>
              </w:rPr>
              <w:t>d6507 Aiutare a prendersi cura degli oggetti della casa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="0"/>
              <w:jc w:val="both"/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</w:pPr>
            <w:r>
              <w:rPr>
                <w:rFonts w:ascii="Calibri" w:hAnsi="Calibri"/>
                <w:color w:val="000000"/>
                <w:kern w:val="0"/>
                <w:sz w:val="22"/>
                <w:szCs w:val="22"/>
                <w:lang w:val="it-IT" w:bidi="ar-SA"/>
              </w:rPr>
              <w:t>Collaborare con altri alla manutenzione e alla riparazione degli oggetti di casa e di altri oggetti personali, sotto la supervisione di qualcuno.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  <w:t>d620 Procurarsi beni e servizi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Scegliere, procurarsi e trasportare tutti i beni e i servizi necessari per la vita quotidiana, come scegliere, procurarsi, trasportare e riporre cibo, bevande, vestiario, materiali per la pulizia, combustibile, articoli per la casa, utensili, padellame, materiale da gioco, utensili domestici e attrezzi, procurarsi comodità e altre cose utili per la casa.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it-IT" w:eastAsia="en-US" w:bidi="ar-SA"/>
              </w:rPr>
              <w:t>d6200 Fare compere, acquistare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Ottenere, in cambio di denaro, beni e servizi necessari per la vita di tutti i giorni( incluso istruire e dirigere un intermediario per compiere gli acquisti), come scegliere cibo, bevande, materiali per la pulizia, articoli per la casa, materiali da gioco o vestiario in un negozio o mercato; confrontare qualità e prezzo degli articoli richiesti, negoziare e pagare per i beni o servizi scelti e trasportarli.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d6201 Procurarsi ciò che serve quotidianamente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it-IT" w:eastAsia="en-US" w:bidi="ar-SA"/>
              </w:rPr>
              <w:t>Ottenere, senza scambio di denaro, beni e servizi richiesti per la vita di tutti i giorni (incluso istruire e dirigere un intermediario per procurarsi ciò che serve quotidianamente), come raccogliere verdure e frutti.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4"/>
                <w:szCs w:val="24"/>
                <w:highlight w:val="green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highlight w:val="green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it-IT" w:eastAsia="en-US" w:bidi="ar-SA"/>
              </w:rPr>
              <w:t>d240 Gestire la tensione e altre richieste di tipo psicologico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Eseguire azioni semplici o complesse e coordinate per gestire e controllare le richieste di tipo psicologico necessarie per eseguire compiti che comportano significative responsabilità, stress, distrazioni e crisi.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inclusioni: gestire lo stress e le crisi.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highlight w:val="green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highlight w:val="green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it-IT" w:eastAsia="en-US" w:bidi="ar-SA"/>
              </w:rPr>
              <w:t>d2401 Gestire lo stress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Eseguire azioni semplici o complesse e coordinate per far fronte alla pressione, alle emergenze e allo stress associati all’esecuzione di un compito, come aspettare il proprio turno, parlare davanti alla classe, cercare con metodo degli oggetti perduti e tener d’occhio il tempo che passa.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it-IT" w:eastAsia="en-US" w:bidi="ar-SA"/>
              </w:rPr>
              <w:t>d2402 Gestire le crisi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lang w:val="it-IT" w:eastAsia="en-US" w:bidi="ar-SA"/>
              </w:rPr>
            </w:pPr>
            <w:r>
              <w:rPr>
                <w:rFonts w:eastAsia="Calibri" w:cs=""/>
                <w:kern w:val="0"/>
                <w:lang w:val="it-IT" w:eastAsia="en-US" w:bidi="ar-SA"/>
              </w:rPr>
              <w:t>Eseguire azioni semplici o complesse e coordinate per affrontare i punti di svolta decisivi di una situazione o i periodi di grave pericolo o difficoltà, come decidere al momento adatto quando chiedere aiuto e chiedere aiuto alla persona giusta.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d250 Controllare il proprio comportamento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Eseguire azioni semplici o complesse e coordinate in modo coerente in risposta a situazioni, persone o esperienze nuove.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Times New Roman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Times New Roman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d2500 Accettare la novità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Gestire il comportamento e l’espressione delle emozioni rispondendo in modo appropriato agli oggetti o alle situazioni nuove.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d2501 Rispondere alle richieste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Gestire il comportamento e l’espressione delle emozioni in modo appropriato in risposta ad aspettative o richieste reali o percepite.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d2502 Relazionarsi alle persone o alle situazioni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Gestire il comportamento e l’espressione delle emozioni seguendo un modello appropriato di inizio delle interazioni con le persone o in situazioni varie.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d2503 Agire in modo prevedibile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Gestire il comportamento e l’espressione delle emozioni con un modello di azione costante in risposte alle richieste o alle aspettative.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4"/>
                <w:szCs w:val="24"/>
                <w:lang w:val="it-IT" w:eastAsia="en-US" w:bidi="ar-SA"/>
              </w:rPr>
              <w:t>d2504 Adattare il livello di attività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4"/>
                <w:szCs w:val="24"/>
                <w:lang w:val="it-IT" w:eastAsia="en-US" w:bidi="ar-SA"/>
              </w:rPr>
              <w:t>Gestire il comportamento e l’espressione delle emozioni con un modello e un livello di energia appropriati alle richieste o alle aspettative.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d410 Cambiare la posizione di base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Assumere e abbandonare una posizione corporea e muoversi da una collocazione all’altra, come girarsi da un lato all’altro, sedersi, alzarsi in piedi,  alzarsi da una sedia per sdraiarsi sul letto, e assumere e abbandonare una posizione inginocchiata o accovacciata. 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Inclusione: cambiare posizione dall’essere sdraiati, accovacciati o inginocchiati,da seduti o in piedi, piegandosi e spostando il baricentro del corpo.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4"/>
                <w:szCs w:val="24"/>
                <w:highlight w:val="green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highlight w:val="green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d415 Mantenere una posizione corporea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Rimanere nella stessa posizione corporea come richiesto, come rimanere seduti o in piedi per lavoro o a scuola.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Inclusione: mantenere una posizione sdraiata, accovacciata,inginocchiata, seduta ed eretta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d420 Trasferirsi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Muoversi da una superficie a un’altra, come muoversi lungo una panca o dal letto alla sedia, senza cambiare posizione corporea.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trasferirsi da seduti o da sdraiati.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d430 Sollevare e trasportare oggetti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Sollevare un oggetto o portare un oggetto da un posto all’altro, come prendere in mano una tazza o un giocattolo, portare una scatola o un bambino da una stanza a un’altra.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sollevare, portare in mano o sulle braccia o sulle spalle, sul fianco, sulla schiena o sulla testa; mettere gi.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d435 Spostare oggetti con arti inferiori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Svolgere delle azioni coordinate volte a muovere un oggetto usando le gambe e i piedi, come dare un calcio a un pallone o spingere i pedali di una bicicletta.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d440 Uso fine della mano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Compiere le azioni coordinate del maneggiare oggetti, manipolarli e lasciarli andare usando una mano, dita e pollice come necessario per raccogliere delle monete da un tavolo o per comporre un numero al telefono o girare una maniglia.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Inclusione: raccogliere, afferrare, manipolare e lasciare.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d445 Uso fine della mano e del braccio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Compiere le azioni coordinate necessarie per muovere o manipolare oggetti usando mani e braccia, come nel girare le maniglie della porta o nel tirare o afferrare un oggetto. 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tirare o spingere oggetti; raggiungere allungando il braccio; girare o esercitare torsione delle mani o delle braccia; lanciare ; afferrare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d450 Camminare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Muoversi lungo una superficie a piedi, passo dopo passo in modo che almeno un piede sia sempre appoggiato al suolo, come nel passeggiare, gironzolare, camminare avanti, a ritroso o lateralmente.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camminare per brevi o lunghe distanze, camminare su superfici diverse; camminare attorno a degli ostacoli.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d455 Spostarsi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Trasferire tutto il corpo da un posto all’altro con modalità diverse dal camminare, come arrampicarsi su una roccia o correre per la strada, saltellare, scorrazzare, saltare, fare capriole o correre attorno ad ostacoli.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strisciare, salire, correre, fare jogging, saltare, nuotare, spostarsi da seduti e rotolare e trascinarsi.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d460 Spostarsi in diverse collocazioni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Camminare e spostarsi in vari posti e situazioni, come camminare attraverso le stanze di una casa, all’interno di un palazzo o per la strada in città.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spostarsi all’interno della casa, strisciare o salire all’interno della casa; camminare o muoversi all’interno di edifici diversi da casa propria e al di fuori di casa o di altri edifici.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d470 Usare un mezzo di trasporto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23" w:leader="none"/>
              </w:tabs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Usare un mezzo di trasporto per spostarsi in qualità di passeggero, come essere trasportati su un’automobile o su un autobus, un risciò, un piccolo autobus, una carrozzina o un passeggino, un veicolo a trazione animale o un taxi, un autobus, un treno, un tram, una metropolitana, una barca o un aeroplano pubblici o privati.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usare mezzi di trasporto a trazione umana; usare mezzi di trasporto privati motorizzati o pubblici.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it-IT" w:eastAsia="en-US" w:bidi="ar-SA"/>
              </w:rPr>
              <w:t>d730 Entrare in relazione con estranei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it-IT" w:eastAsia="en-US" w:bidi="ar-SA"/>
              </w:rPr>
              <w:t>Avere contatti e legami temporali con estranei per scopi specifici, come quando si chiedono informazioni o indicazioni o si effettua un acquisto.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it-IT" w:eastAsia="en-US" w:bidi="ar-SA"/>
              </w:rPr>
              <w:t>d740 Relazioni formali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delle relazioni specifiche in contesti formali, come con insegnanti.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it-IT" w:eastAsia="en-US" w:bidi="ar-SA"/>
              </w:rPr>
              <w:t>d7400 Entrare in relazione con persone autorevoli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relazioni formali con persone in posizione di potere o di un grado o di prestigio più elevato rispetto alla propria posizione sociale, come un insegnante.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it-IT" w:eastAsia="en-US" w:bidi="ar-SA"/>
              </w:rPr>
              <w:t>d7402 Entrare in relazione con persone di pari livello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relazioni formali con persone della stessa posizione di autorità, grado o prestigio rispetto alla propria posizione sociale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Arial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 xml:space="preserve">d750 Relazioni sociali informali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Entrare in relazione con altri come le relazioni casuali con persone che vivono nella stessa comunità o residenza, o con colleghi di lavoro, studenti, compagni di gioco o persone dello stesso ambiente o professione.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d7500 Relazioni informali con amici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relazioni di amicizia caratterizzate da stima reciproca e interessi comuni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d7502 Relazioni informali con conoscenti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relazioni informali con persone che si conoscono, ma che non sono amici intimi.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d7504 Relazioni informali con i pari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relazioni informali con persone che hanno in comune età, interessi o altre caratteristiche.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d760 Relazioni familiari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Creazione e mantenimento di relazioni di parentela, come con i membri della famiglia ristretta, della famiglia allargata, della famiglia affidataria e adottiva e nelle relazioni tra patrigno o matrigna e figliastri, nelle parentele più lontane come secondi cugini e tutori legali. 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it-IT" w:eastAsia="en-US" w:bidi="ar-SA"/>
              </w:rPr>
              <w:t>Inclusioni: relazione genitore figlio e figlio genitore, tra fratelli e nella famiglia allargata.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d7600 Relazioni genitore-figlio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Diventare ed essere genitore, sia naturale che adottivo, come avere un figlio e rapportarsi a lui come genitore, o creare e mantenere una relazione genitoriale con un figlio adottivo e fornire cure fisiche, intellettive ed emotive al proprio figlio naturale ed adottivo. 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d7601 Relazioni figlio genitore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una relazione con il proprio genitore, come un bambino piccolo che obbedisce ai suoi genitori o un figlio adulto che si prende cura dei suoi genitori anziani.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d7602 Relazioni tra fratelli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una relazione fraterna con una persona che ha in comune uno o entrambi i genitori per nascita, adozione o matrimonio.</w:t>
            </w:r>
          </w:p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d7603 Relazioni nella famiglia allargata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Creare e mantenere una relazione famigliare con i membri della propria famiglia allargata, come con cugini, le zie e gli zii e i nonni.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Calibri" w:hAnsi="Calibri" w:eastAsia="Calibri" w:cs=""/>
                <w:b/>
                <w:b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7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Contenutotabella" w:customStyle="1">
    <w:name w:val="Contenuto tabella"/>
    <w:basedOn w:val="Normal"/>
    <w:qFormat/>
    <w:rsid w:val="00890b53"/>
    <w:pPr>
      <w:widowControl w:val="false"/>
      <w:suppressLineNumbers/>
      <w:suppressAutoHyphens w:val="true"/>
    </w:pPr>
    <w:rPr>
      <w:rFonts w:ascii="Times New Roman" w:hAnsi="Times New Roman" w:eastAsia="Andale Sans UI" w:cs="Times New Roman"/>
      <w:kern w:val="2"/>
    </w:rPr>
  </w:style>
  <w:style w:type="paragraph" w:styleId="Standard" w:customStyle="1">
    <w:name w:val="Standard"/>
    <w:qFormat/>
    <w:rsid w:val="007d048b"/>
    <w:pPr>
      <w:widowControl/>
      <w:suppressAutoHyphens w:val="true"/>
      <w:bidi w:val="0"/>
      <w:spacing w:before="0" w:after="0"/>
      <w:jc w:val="left"/>
      <w:textAlignment w:val="baseline"/>
    </w:pPr>
    <w:rPr>
      <w:rFonts w:ascii="Cambria" w:hAnsi="Cambria" w:eastAsia="SimSun" w:cs="F"/>
      <w:color w:val="auto"/>
      <w:kern w:val="2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unhideWhenUsed/>
    <w:qFormat/>
    <w:rsid w:val="007d048b"/>
    <w:pPr>
      <w:spacing w:beforeAutospacing="1" w:after="119"/>
    </w:pPr>
    <w:rPr>
      <w:rFonts w:ascii="Times New Roman" w:hAnsi="Times New Roman" w:eastAsia="Times New Roman" w:cs="Times New Roman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890b5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Application>LibreOffice/7.0.2.2$Windows_X86_64 LibreOffice_project/8349ace3c3162073abd90d81fd06dcfb6b36b994</Application>
  <Pages>14</Pages>
  <Words>3332</Words>
  <Characters>19220</Characters>
  <CharactersWithSpaces>22380</CharactersWithSpaces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2021-08-25T09:54:00Z</dcterms:created>
  <dc:creator>Desirè Ranghetti</dc:creator>
  <dc:description/>
  <dc:language>it-IT</dc:language>
  <cp:lastModifiedBy/>
  <dcterms:modified xsi:type="dcterms:W3CDTF">2021-09-01T09:15:29Z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